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EC6AA8">
        <w:rPr>
          <w:b w:val="0"/>
          <w:bCs w:val="0"/>
          <w:color w:val="000000"/>
          <w:spacing w:val="-12"/>
        </w:rPr>
        <w:t xml:space="preserve">  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EC6AA8">
        <w:rPr>
          <w:b w:val="0"/>
          <w:bCs w:val="0"/>
          <w:color w:val="000000"/>
          <w:spacing w:val="-8"/>
        </w:rPr>
        <w:t>2</w:t>
      </w:r>
      <w:r w:rsidR="008F5F3D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EC6AA8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C6AA8">
        <w:rPr>
          <w:b w:val="0"/>
          <w:bCs w:val="0"/>
        </w:rPr>
        <w:t>2</w:t>
      </w:r>
      <w:r w:rsidR="008F5F3D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EC6AA8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E71D9A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6433DF" w:rsidRDefault="006433DF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6433DF" w:rsidRDefault="006433DF" w:rsidP="00E71D9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E71D9A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:</w:t>
      </w:r>
    </w:p>
    <w:p w:rsidR="00EC6AA8" w:rsidRDefault="00EC6AA8" w:rsidP="00E71D9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6433DF" w:rsidTr="00C06B39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433DF" w:rsidTr="00C06B39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Default="006433DF" w:rsidP="00C06B3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433DF" w:rsidTr="00C06B39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8F5F3D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F5F3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"Масштаб"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8F5F3D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F5F3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7103044644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433DF" w:rsidRDefault="006433DF" w:rsidP="006433DF">
      <w:pPr>
        <w:jc w:val="both"/>
        <w:rPr>
          <w:bCs w:val="0"/>
          <w:u w:val="single"/>
        </w:rPr>
      </w:pPr>
    </w:p>
    <w:p w:rsidR="006433DF" w:rsidRPr="001232FD" w:rsidRDefault="006433DF" w:rsidP="006433D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433DF" w:rsidRPr="006F7BB8" w:rsidRDefault="006433DF" w:rsidP="006433DF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433DF" w:rsidRDefault="006433DF" w:rsidP="006433D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433DF" w:rsidRDefault="006433DF" w:rsidP="006433DF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 xml:space="preserve">Принять в члены Ассоциации «МЕЖРЕГИОНСТРОЙ» </w:t>
      </w:r>
      <w:r w:rsidR="00DB367D" w:rsidRPr="003E20F7">
        <w:rPr>
          <w:b w:val="0"/>
          <w:bCs w:val="0"/>
        </w:rPr>
        <w:t>вышеназванные организации</w:t>
      </w:r>
      <w:r w:rsidR="00B03764">
        <w:rPr>
          <w:b w:val="0"/>
          <w:bCs w:val="0"/>
        </w:rPr>
        <w:t xml:space="preserve"> </w:t>
      </w:r>
      <w:r w:rsidRPr="003E20F7">
        <w:rPr>
          <w:b w:val="0"/>
          <w:bCs w:val="0"/>
        </w:rPr>
        <w:t>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Pr="00540414">
        <w:rPr>
          <w:b w:val="0"/>
          <w:bCs w:val="0"/>
        </w:rPr>
        <w:t>.</w:t>
      </w:r>
    </w:p>
    <w:p w:rsidR="001C1C32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04E5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bookmarkStart w:id="0" w:name="_GoBack"/>
      <w:bookmarkEnd w:id="0"/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E71D9A">
        <w:rPr>
          <w:bCs w:val="0"/>
        </w:rPr>
        <w:t>Борисо</w:t>
      </w:r>
      <w:r w:rsidR="00644F4F" w:rsidRPr="00644F4F">
        <w:rPr>
          <w:bCs w:val="0"/>
        </w:rPr>
        <w:t xml:space="preserve">ва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5" w:rsidRDefault="003E7055" w:rsidP="00C60923">
      <w:r>
        <w:separator/>
      </w:r>
    </w:p>
  </w:endnote>
  <w:endnote w:type="continuationSeparator" w:id="0">
    <w:p w:rsidR="003E7055" w:rsidRDefault="003E705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5" w:rsidRDefault="003E7055" w:rsidP="00C60923">
      <w:r>
        <w:separator/>
      </w:r>
    </w:p>
  </w:footnote>
  <w:footnote w:type="continuationSeparator" w:id="0">
    <w:p w:rsidR="003E7055" w:rsidRDefault="003E705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4E5F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3B7A-EC03-47B1-8B8B-7799F91D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2018-07-31T10:51:00Z</cp:lastPrinted>
  <dcterms:created xsi:type="dcterms:W3CDTF">2018-08-28T07:06:00Z</dcterms:created>
  <dcterms:modified xsi:type="dcterms:W3CDTF">2018-08-28T11:09:00Z</dcterms:modified>
</cp:coreProperties>
</file>